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PingFang SC" w:hAnsi="PingFang SC" w:eastAsia="PingFang SC" w:cs="PingFang SC"/>
          <w:i w:val="0"/>
          <w:iCs w:val="0"/>
          <w:caps w:val="0"/>
          <w:color w:val="333333"/>
          <w:spacing w:val="0"/>
        </w:rPr>
      </w:pPr>
      <w:r>
        <w:rPr>
          <w:rFonts w:hint="default" w:ascii="PingFang SC" w:hAnsi="PingFang SC" w:eastAsia="PingFang SC" w:cs="PingFang SC"/>
          <w:i w:val="0"/>
          <w:iCs w:val="0"/>
          <w:caps w:val="0"/>
          <w:color w:val="333333"/>
          <w:spacing w:val="0"/>
          <w:bdr w:val="none" w:color="auto" w:sz="0" w:space="0"/>
        </w:rPr>
        <w:t>房地产税试点：原因、方案、影响及展望</w:t>
      </w:r>
    </w:p>
    <w:p>
      <w:pPr>
        <w:keepNext w:val="0"/>
        <w:keepLines w:val="0"/>
        <w:widowControl/>
        <w:suppressLineNumbers w:val="0"/>
        <w:jc w:val="left"/>
        <w:rPr>
          <w:rFonts w:ascii="仿宋" w:hAnsi="仿宋" w:eastAsia="仿宋" w:cs="仿宋"/>
          <w:color w:val="000000"/>
          <w:kern w:val="0"/>
          <w:sz w:val="24"/>
          <w:szCs w:val="24"/>
          <w:bdr w:val="none" w:color="auto" w:sz="0" w:space="0"/>
          <w:lang w:val="en-US" w:eastAsia="zh-CN" w:bidi="ar"/>
        </w:rPr>
      </w:pPr>
    </w:p>
    <w:p>
      <w:pPr>
        <w:keepNext w:val="0"/>
        <w:keepLines w:val="0"/>
        <w:widowControl/>
        <w:suppressLineNumbers w:val="0"/>
        <w:jc w:val="left"/>
        <w:rPr>
          <w:rFonts w:hint="eastAsia" w:ascii="仿宋" w:hAnsi="仿宋" w:eastAsia="仿宋" w:cs="仿宋"/>
          <w:sz w:val="25"/>
          <w:szCs w:val="25"/>
        </w:rPr>
      </w:pPr>
      <w:r>
        <w:rPr>
          <w:rFonts w:ascii="仿宋" w:hAnsi="仿宋" w:eastAsia="仿宋" w:cs="仿宋"/>
          <w:color w:val="000000"/>
          <w:kern w:val="0"/>
          <w:sz w:val="24"/>
          <w:szCs w:val="24"/>
          <w:bdr w:val="none" w:color="auto" w:sz="0" w:space="0"/>
          <w:lang w:val="en-US" w:eastAsia="zh-CN" w:bidi="ar"/>
        </w:rPr>
        <w:t>房地产税试点终于来了！</w:t>
      </w:r>
      <w:r>
        <w:rPr>
          <w:rFonts w:hint="eastAsia" w:ascii="仿宋" w:hAnsi="仿宋" w:eastAsia="仿宋" w:cs="仿宋"/>
          <w:color w:val="000000"/>
          <w:kern w:val="0"/>
          <w:sz w:val="24"/>
          <w:szCs w:val="24"/>
          <w:bdr w:val="none" w:color="auto" w:sz="0" w:space="0"/>
          <w:lang w:val="en-US" w:eastAsia="zh-CN" w:bidi="ar"/>
        </w:rPr>
        <w:t>2021年10月23日，全国人民代表大会常务委员会关于授权国务院在部分地区开展房地产税改革试点工作的决定（以下简称《决定》）。</w:t>
      </w:r>
      <w:r>
        <w:rPr>
          <w:rStyle w:val="6"/>
          <w:rFonts w:hint="eastAsia" w:ascii="仿宋" w:hAnsi="仿宋" w:eastAsia="仿宋" w:cs="仿宋"/>
          <w:b/>
          <w:bCs/>
          <w:color w:val="021EAA"/>
          <w:kern w:val="0"/>
          <w:sz w:val="25"/>
          <w:szCs w:val="25"/>
          <w:bdr w:val="none" w:color="auto" w:sz="0" w:space="0"/>
          <w:lang w:val="en-US" w:eastAsia="zh-CN" w:bidi="ar"/>
        </w:rPr>
        <w:br w:type="textWrapping"/>
      </w:r>
      <w:r>
        <w:rPr>
          <w:rStyle w:val="6"/>
          <w:rFonts w:hint="eastAsia" w:ascii="仿宋" w:hAnsi="仿宋" w:eastAsia="仿宋" w:cs="仿宋"/>
          <w:b/>
          <w:bCs/>
          <w:color w:val="021EAA"/>
          <w:kern w:val="0"/>
          <w:sz w:val="25"/>
          <w:szCs w:val="25"/>
          <w:bdr w:val="none" w:color="auto" w:sz="0" w:space="0"/>
          <w:lang w:val="en-US" w:eastAsia="zh-CN" w:bidi="ar"/>
        </w:rPr>
        <w:t>1 房地产税试点的原因2 房地产税试点的方案3 房地产税试点的影响4 展望5 他山之石：美国、</w:t>
      </w:r>
      <w:bookmarkStart w:id="0" w:name="_GoBack"/>
      <w:bookmarkEnd w:id="0"/>
      <w:r>
        <w:rPr>
          <w:rStyle w:val="6"/>
          <w:rFonts w:hint="eastAsia" w:ascii="仿宋" w:hAnsi="仿宋" w:eastAsia="仿宋" w:cs="仿宋"/>
          <w:b/>
          <w:bCs/>
          <w:color w:val="021EAA"/>
          <w:kern w:val="0"/>
          <w:sz w:val="25"/>
          <w:szCs w:val="25"/>
          <w:bdr w:val="none" w:color="auto" w:sz="0" w:space="0"/>
          <w:lang w:val="en-US" w:eastAsia="zh-CN" w:bidi="ar"/>
        </w:rPr>
        <w:t>英国、日本如何征收房地产税</w:t>
      </w:r>
    </w:p>
    <w:p>
      <w:pPr>
        <w:keepNext w:val="0"/>
        <w:keepLines w:val="0"/>
        <w:widowControl/>
        <w:suppressLineNumbers w:val="0"/>
        <w:jc w:val="left"/>
      </w:pPr>
      <w:r>
        <w:rPr>
          <w:rFonts w:hint="eastAsia" w:ascii="仿宋" w:hAnsi="仿宋" w:eastAsia="仿宋" w:cs="仿宋"/>
          <w:kern w:val="0"/>
          <w:sz w:val="25"/>
          <w:szCs w:val="25"/>
          <w:bdr w:val="none" w:color="auto" w:sz="0" w:space="0"/>
          <w:lang w:val="en-US" w:eastAsia="zh-CN" w:bidi="ar"/>
        </w:rPr>
        <w:t>房地产税改革加快，近年来重要会议及文件中多次提及房地产税，相比此前表态，本次《决定》进一步明确了房地产税试点的改革目标、实施路径、征收对象等。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5"/>
          <w:szCs w:val="25"/>
          <w:bdr w:val="none" w:color="auto" w:sz="0" w:space="0"/>
        </w:rPr>
        <w:drawing>
          <wp:inline distT="0" distB="0" distL="114300" distR="114300">
            <wp:extent cx="4353560" cy="3712210"/>
            <wp:effectExtent l="0" t="0" r="8890"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353560" cy="371221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Style w:val="6"/>
          <w:rFonts w:hint="eastAsia" w:ascii="仿宋" w:hAnsi="仿宋" w:eastAsia="仿宋" w:cs="仿宋"/>
          <w:b/>
          <w:bCs/>
          <w:color w:val="021EAA"/>
          <w:kern w:val="0"/>
          <w:sz w:val="25"/>
          <w:szCs w:val="25"/>
          <w:bdr w:val="none" w:color="auto" w:sz="0" w:space="0"/>
          <w:lang w:val="en-US" w:eastAsia="zh-CN" w:bidi="ar"/>
        </w:rPr>
        <w:t>1 房地产税试点的原因</w:t>
      </w:r>
      <w:r>
        <w:rPr>
          <w:rStyle w:val="6"/>
          <w:rFonts w:hint="eastAsia" w:ascii="仿宋" w:hAnsi="仿宋" w:eastAsia="仿宋" w:cs="仿宋"/>
          <w:b/>
          <w:bCs/>
          <w:kern w:val="0"/>
          <w:sz w:val="25"/>
          <w:szCs w:val="25"/>
          <w:bdr w:val="none" w:color="auto" w:sz="0" w:space="0"/>
          <w:lang w:val="en-US" w:eastAsia="zh-CN" w:bidi="ar"/>
        </w:rPr>
        <w:t>第一，调控房地产，严格落实“房住不炒”，增加保有环节成本。</w:t>
      </w:r>
      <w:r>
        <w:rPr>
          <w:rFonts w:hint="eastAsia" w:ascii="仿宋" w:hAnsi="仿宋" w:eastAsia="仿宋" w:cs="仿宋"/>
          <w:kern w:val="0"/>
          <w:sz w:val="25"/>
          <w:szCs w:val="25"/>
          <w:bdr w:val="none" w:color="auto" w:sz="0" w:space="0"/>
          <w:lang w:val="en-US" w:eastAsia="zh-CN" w:bidi="ar"/>
        </w:rPr>
        <w:t>自2016年的中央经济工作会议首次提出“房住不炒”后，每年政府工作报告都以此定调当年房地产市场。《决定》提出，</w:t>
      </w:r>
      <w:r>
        <w:rPr>
          <w:rStyle w:val="6"/>
          <w:rFonts w:hint="eastAsia" w:ascii="仿宋" w:hAnsi="仿宋" w:eastAsia="仿宋" w:cs="仿宋"/>
          <w:b/>
          <w:bCs/>
          <w:kern w:val="0"/>
          <w:sz w:val="25"/>
          <w:szCs w:val="25"/>
          <w:bdr w:val="none" w:color="auto" w:sz="0" w:space="0"/>
          <w:lang w:val="en-US" w:eastAsia="zh-CN" w:bidi="ar"/>
        </w:rPr>
        <w:t>“为积极稳妥推进房地产税立法与改革，引导住房合理消费和土地资源节约集约利用，促进房地产市场平稳健康发展”。因此，此次试点地区应该以房价上涨压力较大的热点城市为主，比如长三角、珠三角、京津冀等地区以及部分区域中心城市；同时，扣除抵扣面积以后，对于投机炒房的多套房和豪宅的征税力度可能较大。第二，随着房地产大开发时代渐进尾声，土地财政难以为继，存量房时代到来，从土地财政向房地产税转型是大势所趋、形势所迫。</w:t>
      </w:r>
      <w:r>
        <w:rPr>
          <w:rFonts w:hint="eastAsia" w:ascii="仿宋" w:hAnsi="仿宋" w:eastAsia="仿宋" w:cs="仿宋"/>
          <w:kern w:val="0"/>
          <w:sz w:val="25"/>
          <w:szCs w:val="25"/>
          <w:bdr w:val="none" w:color="auto" w:sz="0" w:space="0"/>
          <w:lang w:val="en-US" w:eastAsia="zh-CN" w:bidi="ar"/>
        </w:rPr>
        <w:t>根据第七次人口普查数据，</w:t>
      </w:r>
      <w:r>
        <w:rPr>
          <w:rStyle w:val="6"/>
          <w:rFonts w:hint="eastAsia" w:ascii="仿宋" w:hAnsi="仿宋" w:eastAsia="仿宋" w:cs="仿宋"/>
          <w:b/>
          <w:bCs/>
          <w:kern w:val="0"/>
          <w:sz w:val="25"/>
          <w:szCs w:val="25"/>
          <w:bdr w:val="none" w:color="auto" w:sz="0" w:space="0"/>
          <w:lang w:val="en-US" w:eastAsia="zh-CN" w:bidi="ar"/>
        </w:rPr>
        <w:t>2020年我国常住人口口径的城镇化率为63.9%</w:t>
      </w:r>
      <w:r>
        <w:rPr>
          <w:rFonts w:hint="eastAsia" w:ascii="仿宋" w:hAnsi="仿宋" w:eastAsia="仿宋" w:cs="仿宋"/>
          <w:kern w:val="0"/>
          <w:sz w:val="25"/>
          <w:szCs w:val="25"/>
          <w:bdr w:val="none" w:color="auto" w:sz="0" w:space="0"/>
          <w:lang w:val="en-US" w:eastAsia="zh-CN" w:bidi="ar"/>
        </w:rPr>
        <w:t>，考虑到2.86亿农民工在农村留守的家属（其中，外出农民工16959万人，本地农民工11601万人），如果能够实现农民工市民化和基本公共服务均等化，</w:t>
      </w:r>
      <w:r>
        <w:rPr>
          <w:rStyle w:val="6"/>
          <w:rFonts w:hint="eastAsia" w:ascii="仿宋" w:hAnsi="仿宋" w:eastAsia="仿宋" w:cs="仿宋"/>
          <w:b/>
          <w:bCs/>
          <w:kern w:val="0"/>
          <w:sz w:val="25"/>
          <w:szCs w:val="25"/>
          <w:bdr w:val="none" w:color="auto" w:sz="0" w:space="0"/>
          <w:lang w:val="en-US" w:eastAsia="zh-CN" w:bidi="ar"/>
        </w:rPr>
        <w:t>我国宽口径的城镇化率已经达到75%左右</w:t>
      </w:r>
      <w:r>
        <w:rPr>
          <w:rFonts w:hint="eastAsia" w:ascii="仿宋" w:hAnsi="仿宋" w:eastAsia="仿宋" w:cs="仿宋"/>
          <w:kern w:val="0"/>
          <w:sz w:val="25"/>
          <w:szCs w:val="25"/>
          <w:bdr w:val="none" w:color="auto" w:sz="0" w:space="0"/>
          <w:lang w:val="en-US" w:eastAsia="zh-CN" w:bidi="ar"/>
        </w:rPr>
        <w:t>，发达国家的城镇化率普遍在80%-90%之间，快速城镇化阶段渐进尾声，土地财政难以为继。根据我们的测算，土地加税收成本占房价的6成左右。根据财政部数据，</w:t>
      </w:r>
      <w:r>
        <w:rPr>
          <w:rStyle w:val="6"/>
          <w:rFonts w:hint="eastAsia" w:ascii="仿宋" w:hAnsi="仿宋" w:eastAsia="仿宋" w:cs="仿宋"/>
          <w:b/>
          <w:bCs/>
          <w:kern w:val="0"/>
          <w:sz w:val="25"/>
          <w:szCs w:val="25"/>
          <w:bdr w:val="none" w:color="auto" w:sz="0" w:space="0"/>
          <w:lang w:val="en-US" w:eastAsia="zh-CN" w:bidi="ar"/>
        </w:rPr>
        <w:t>2020年地方政府与房地产相关收入总额：10.4万亿，其中国有土地出让金收入8.4万亿，5个房地产特有税种税收合计1.97万亿</w:t>
      </w:r>
      <w:r>
        <w:rPr>
          <w:rFonts w:hint="eastAsia" w:ascii="仿宋" w:hAnsi="仿宋" w:eastAsia="仿宋" w:cs="仿宋"/>
          <w:kern w:val="0"/>
          <w:sz w:val="25"/>
          <w:szCs w:val="25"/>
          <w:bdr w:val="none" w:color="auto" w:sz="0" w:space="0"/>
          <w:lang w:val="en-US" w:eastAsia="zh-CN" w:bidi="ar"/>
        </w:rPr>
        <w:t>。2012-2020年土地出让金占地方财政收入的比例由20.0%增至30.4%。2012-2020年土地出让收入和房地产专项税合计占地方财政收入从27.1%升至37.6%。</w:t>
      </w:r>
      <w:r>
        <w:rPr>
          <w:rFonts w:hint="eastAsia" w:ascii="仿宋" w:hAnsi="仿宋" w:eastAsia="仿宋" w:cs="仿宋"/>
          <w:kern w:val="0"/>
          <w:sz w:val="25"/>
          <w:szCs w:val="25"/>
          <w:bdr w:val="none" w:color="auto" w:sz="0" w:space="0"/>
          <w:lang w:val="en-US" w:eastAsia="zh-CN" w:bidi="ar"/>
        </w:rPr>
        <w:drawing>
          <wp:inline distT="0" distB="0" distL="114300" distR="114300">
            <wp:extent cx="3989705" cy="2874010"/>
            <wp:effectExtent l="0" t="0" r="10795" b="254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3989705" cy="2874010"/>
                    </a:xfrm>
                    <a:prstGeom prst="rect">
                      <a:avLst/>
                    </a:prstGeom>
                    <a:noFill/>
                    <a:ln w="9525">
                      <a:noFill/>
                    </a:ln>
                  </pic:spPr>
                </pic:pic>
              </a:graphicData>
            </a:graphic>
          </wp:inline>
        </w:drawing>
      </w:r>
      <w:r>
        <w:rPr>
          <w:rFonts w:hint="eastAsia" w:ascii="仿宋" w:hAnsi="仿宋" w:eastAsia="仿宋" w:cs="仿宋"/>
          <w:kern w:val="0"/>
          <w:sz w:val="25"/>
          <w:szCs w:val="25"/>
          <w:bdr w:val="none" w:color="auto" w:sz="0" w:space="0"/>
          <w:lang w:val="en-US" w:eastAsia="zh-CN" w:bidi="ar"/>
        </w:rPr>
        <w:drawing>
          <wp:inline distT="0" distB="0" distL="114300" distR="114300">
            <wp:extent cx="4819650" cy="3586480"/>
            <wp:effectExtent l="0" t="0" r="0" b="1397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4819650" cy="3586480"/>
                    </a:xfrm>
                    <a:prstGeom prst="rect">
                      <a:avLst/>
                    </a:prstGeom>
                    <a:noFill/>
                    <a:ln w="9525">
                      <a:noFill/>
                    </a:ln>
                  </pic:spPr>
                </pic:pic>
              </a:graphicData>
            </a:graphic>
          </wp:inline>
        </w:drawing>
      </w:r>
      <w:r>
        <w:rPr>
          <w:rStyle w:val="6"/>
          <w:rFonts w:hint="eastAsia" w:ascii="仿宋" w:hAnsi="仿宋" w:eastAsia="仿宋" w:cs="仿宋"/>
          <w:b/>
          <w:bCs/>
          <w:kern w:val="0"/>
          <w:sz w:val="25"/>
          <w:szCs w:val="25"/>
          <w:bdr w:val="none" w:color="auto" w:sz="0" w:space="0"/>
          <w:lang w:val="en-US" w:eastAsia="zh-CN" w:bidi="ar"/>
        </w:rPr>
        <w:br w:type="textWrapping"/>
      </w:r>
      <w:r>
        <w:rPr>
          <w:rStyle w:val="6"/>
          <w:rFonts w:hint="eastAsia" w:ascii="仿宋" w:hAnsi="仿宋" w:eastAsia="仿宋" w:cs="仿宋"/>
          <w:b/>
          <w:bCs/>
          <w:kern w:val="0"/>
          <w:sz w:val="25"/>
          <w:szCs w:val="25"/>
          <w:bdr w:val="none" w:color="auto" w:sz="0" w:space="0"/>
          <w:lang w:val="en-US" w:eastAsia="zh-CN" w:bidi="ar"/>
        </w:rPr>
        <w:t>第三，地方财政吃紧，房地产税试点，完善地方主体税，增加地方稳定的税收来源。</w:t>
      </w:r>
      <w:r>
        <w:rPr>
          <w:rFonts w:hint="eastAsia" w:ascii="仿宋" w:hAnsi="仿宋" w:eastAsia="仿宋" w:cs="仿宋"/>
          <w:kern w:val="0"/>
          <w:sz w:val="25"/>
          <w:szCs w:val="25"/>
          <w:bdr w:val="none" w:color="auto" w:sz="0" w:space="0"/>
          <w:lang w:val="en-US" w:eastAsia="zh-CN" w:bidi="ar"/>
        </w:rPr>
        <w:t>在美国，地方的主体税是房地产税、消费税和个人所得税。当前我国地方收入压力大，主因</w:t>
      </w:r>
      <w:r>
        <w:rPr>
          <w:rStyle w:val="6"/>
          <w:rFonts w:hint="eastAsia" w:ascii="仿宋" w:hAnsi="仿宋" w:eastAsia="仿宋" w:cs="仿宋"/>
          <w:b/>
          <w:bCs/>
          <w:kern w:val="0"/>
          <w:sz w:val="25"/>
          <w:szCs w:val="25"/>
          <w:bdr w:val="none" w:color="auto" w:sz="0" w:space="0"/>
          <w:lang w:val="en-US" w:eastAsia="zh-CN" w:bidi="ar"/>
        </w:rPr>
        <w:t>地方政府隐性债务监管趋严和房地产市场不景气</w:t>
      </w:r>
      <w:r>
        <w:rPr>
          <w:rFonts w:hint="eastAsia" w:ascii="仿宋" w:hAnsi="仿宋" w:eastAsia="仿宋" w:cs="仿宋"/>
          <w:kern w:val="0"/>
          <w:sz w:val="25"/>
          <w:szCs w:val="25"/>
          <w:bdr w:val="none" w:color="auto" w:sz="0" w:space="0"/>
          <w:lang w:val="en-US" w:eastAsia="zh-CN" w:bidi="ar"/>
        </w:rPr>
        <w:t>。2021年5月以来，房地产销售快速降温，9月商品房销售面积和销售额同比分别为-13.2%和-15.8%；土地大幅流拍，截至10月17日，实施土地集中供应的挂牌地块822宗，流拍地块266宗，流拍率高达32.4%，其中北京、广州、杭州、沈阳流拍率超50%。</w:t>
      </w:r>
      <w:r>
        <w:rPr>
          <w:rStyle w:val="6"/>
          <w:rFonts w:hint="eastAsia" w:ascii="仿宋" w:hAnsi="仿宋" w:eastAsia="仿宋" w:cs="仿宋"/>
          <w:b/>
          <w:bCs/>
          <w:kern w:val="0"/>
          <w:sz w:val="25"/>
          <w:szCs w:val="25"/>
          <w:bdr w:val="none" w:color="auto" w:sz="0" w:space="0"/>
          <w:lang w:val="en-US" w:eastAsia="zh-CN" w:bidi="ar"/>
        </w:rPr>
        <w:t>第四，房产为居民主要财富资产，房地产税改革立法有助于发挥其调节个人收入分配、缩减贫富差距功能，实现“共同富裕”。</w:t>
      </w:r>
      <w:r>
        <w:rPr>
          <w:rFonts w:hint="eastAsia" w:ascii="仿宋" w:hAnsi="仿宋" w:eastAsia="仿宋" w:cs="仿宋"/>
          <w:kern w:val="0"/>
          <w:sz w:val="25"/>
          <w:szCs w:val="25"/>
          <w:bdr w:val="none" w:color="auto" w:sz="0" w:space="0"/>
          <w:lang w:val="en-US" w:eastAsia="zh-CN" w:bidi="ar"/>
        </w:rPr>
        <w:t>居民部门主要缴纳收入税（工薪所得、劳务所得、稿酬所得、财产租赁所得等），财产税基本为零。但在经济高速增长后，社会积累了大量的存量财富，仅靠工资征税来调节收入差距已经力有不逮，开征财产税（主要是房产税和遗产赠与税）既能调节高收入，也能为低收入群体的社会保障提供资金支持。中国收入差距处于较高水平，2019年中国收入基尼系数0.465，高于0.4这一警戒线。财富差距在世界处于中等偏低水平、但快速上升，2020年中国财富排名前1%居民占总财富的比例升至30.6%。</w:t>
      </w:r>
      <w:r>
        <w:rPr>
          <w:rFonts w:ascii="宋体" w:hAnsi="宋体" w:eastAsia="宋体" w:cs="宋体"/>
          <w:kern w:val="0"/>
          <w:sz w:val="24"/>
          <w:szCs w:val="24"/>
          <w:bdr w:val="none" w:color="auto" w:sz="0" w:space="0"/>
          <w:lang w:val="en-US" w:eastAsia="zh-CN" w:bidi="ar"/>
        </w:rPr>
        <w:br w:type="textWrapping"/>
      </w:r>
      <w:r>
        <w:rPr>
          <w:rStyle w:val="6"/>
          <w:rFonts w:hint="eastAsia" w:ascii="仿宋" w:hAnsi="仿宋" w:eastAsia="仿宋" w:cs="仿宋"/>
          <w:b/>
          <w:bCs/>
          <w:color w:val="021EAA"/>
          <w:kern w:val="0"/>
          <w:sz w:val="25"/>
          <w:szCs w:val="25"/>
          <w:bdr w:val="none" w:color="auto" w:sz="0" w:space="0"/>
          <w:lang w:val="en-US" w:eastAsia="zh-CN" w:bidi="ar"/>
        </w:rPr>
        <w:t>2 房地产税试点的方案</w:t>
      </w:r>
      <w:r>
        <w:rPr>
          <w:rStyle w:val="6"/>
          <w:rFonts w:hint="eastAsia" w:ascii="仿宋" w:hAnsi="仿宋" w:eastAsia="仿宋" w:cs="仿宋"/>
          <w:b/>
          <w:bCs/>
          <w:kern w:val="0"/>
          <w:sz w:val="25"/>
          <w:szCs w:val="25"/>
          <w:bdr w:val="none" w:color="auto" w:sz="0" w:space="0"/>
          <w:lang w:val="en-US" w:eastAsia="zh-CN" w:bidi="ar"/>
        </w:rPr>
        <w:t>1）从税源看，此次试点地区将以房价上涨压力较大的热点城市为主，比如长三角、珠三角、京津冀等地区以及部分区域中心城市。</w:t>
      </w:r>
      <w:r>
        <w:rPr>
          <w:rFonts w:hint="eastAsia" w:ascii="仿宋" w:hAnsi="仿宋" w:eastAsia="仿宋" w:cs="仿宋"/>
          <w:kern w:val="0"/>
          <w:sz w:val="25"/>
          <w:szCs w:val="25"/>
          <w:bdr w:val="none" w:color="auto" w:sz="0" w:space="0"/>
          <w:lang w:val="en-US" w:eastAsia="zh-CN" w:bidi="ar"/>
        </w:rPr>
        <w:t>采取热点城市试点方式，除了技术难度下降之外，还有就是复杂性下降，</w:t>
      </w:r>
      <w:r>
        <w:rPr>
          <w:rStyle w:val="6"/>
          <w:rFonts w:hint="eastAsia" w:ascii="仿宋" w:hAnsi="仿宋" w:eastAsia="仿宋" w:cs="仿宋"/>
          <w:b/>
          <w:bCs/>
          <w:kern w:val="0"/>
          <w:sz w:val="25"/>
          <w:szCs w:val="25"/>
          <w:bdr w:val="none" w:color="auto" w:sz="0" w:space="0"/>
          <w:lang w:val="en-US" w:eastAsia="zh-CN" w:bidi="ar"/>
        </w:rPr>
        <w:t>如果全国普征房地产税，需要实现全国不动产实名制和房地产联网</w:t>
      </w:r>
      <w:r>
        <w:rPr>
          <w:rFonts w:hint="eastAsia" w:ascii="仿宋" w:hAnsi="仿宋" w:eastAsia="仿宋" w:cs="仿宋"/>
          <w:kern w:val="0"/>
          <w:sz w:val="25"/>
          <w:szCs w:val="25"/>
          <w:bdr w:val="none" w:color="auto" w:sz="0" w:space="0"/>
          <w:lang w:val="en-US" w:eastAsia="zh-CN" w:bidi="ar"/>
        </w:rPr>
        <w:t>，而根据美国、韩国、英国等经验，不动产实名制和金融实名制是现代国家治理的基础，既是经济改革也是政治改革。</w:t>
      </w:r>
      <w:r>
        <w:rPr>
          <w:rStyle w:val="6"/>
          <w:rFonts w:hint="eastAsia" w:ascii="仿宋" w:hAnsi="仿宋" w:eastAsia="仿宋" w:cs="仿宋"/>
          <w:b/>
          <w:bCs/>
          <w:kern w:val="0"/>
          <w:sz w:val="25"/>
          <w:szCs w:val="25"/>
          <w:bdr w:val="none" w:color="auto" w:sz="0" w:space="0"/>
          <w:lang w:val="en-US" w:eastAsia="zh-CN" w:bidi="ar"/>
        </w:rPr>
        <w:t>2）从课税对象看，以存量房为基础征税的可能性较大。</w:t>
      </w:r>
      <w:r>
        <w:rPr>
          <w:rFonts w:hint="eastAsia" w:ascii="仿宋" w:hAnsi="仿宋" w:eastAsia="仿宋" w:cs="仿宋"/>
          <w:kern w:val="0"/>
          <w:sz w:val="25"/>
          <w:szCs w:val="25"/>
          <w:bdr w:val="none" w:color="auto" w:sz="0" w:space="0"/>
          <w:lang w:val="en-US" w:eastAsia="zh-CN" w:bidi="ar"/>
        </w:rPr>
        <w:t>此前上海与重庆试点效果未达预期的原因之一是其课税对象范围过小，上海仅对新购住宅征税，重庆仅对高端住宅征税。随着一二线城市进入存量房时代，增量住宅增速放缓，课税对象将以存量房为基础。</w:t>
      </w:r>
      <w:r>
        <w:rPr>
          <w:rStyle w:val="6"/>
          <w:rFonts w:hint="eastAsia" w:ascii="仿宋" w:hAnsi="仿宋" w:eastAsia="仿宋" w:cs="仿宋"/>
          <w:b/>
          <w:bCs/>
          <w:kern w:val="0"/>
          <w:sz w:val="25"/>
          <w:szCs w:val="25"/>
          <w:bdr w:val="none" w:color="auto" w:sz="0" w:space="0"/>
          <w:lang w:val="en-US" w:eastAsia="zh-CN" w:bidi="ar"/>
        </w:rPr>
        <w:t>3）从课税依据看，预计我国房地产税试点将以市场评估价值为征税基础。</w:t>
      </w:r>
      <w:r>
        <w:rPr>
          <w:rFonts w:hint="eastAsia" w:ascii="仿宋" w:hAnsi="仿宋" w:eastAsia="仿宋" w:cs="仿宋"/>
          <w:kern w:val="0"/>
          <w:sz w:val="25"/>
          <w:szCs w:val="25"/>
          <w:bdr w:val="none" w:color="auto" w:sz="0" w:space="0"/>
          <w:lang w:val="en-US" w:eastAsia="zh-CN" w:bidi="ar"/>
        </w:rPr>
        <w:t>基于发达国家、上海重庆方案的经验，有以虚拟租金或市场评估价值为征税基础两种方式，预计我国房地产税试点将以市场评估价值为征税基础，</w:t>
      </w:r>
      <w:r>
        <w:rPr>
          <w:rStyle w:val="6"/>
          <w:rFonts w:hint="eastAsia" w:ascii="仿宋" w:hAnsi="仿宋" w:eastAsia="仿宋" w:cs="仿宋"/>
          <w:b/>
          <w:bCs/>
          <w:kern w:val="0"/>
          <w:sz w:val="25"/>
          <w:szCs w:val="25"/>
          <w:bdr w:val="none" w:color="auto" w:sz="0" w:space="0"/>
          <w:lang w:val="en-US" w:eastAsia="zh-CN" w:bidi="ar"/>
        </w:rPr>
        <w:t>并且根据家庭成员人数、抚养负担、生育状况、特殊群体等给予抵扣面积或税收优惠。4）从税率看，可能由国务院划定税率范围、各地因城施策确定差异化税率，且整体税率不会太高。</w:t>
      </w:r>
      <w:r>
        <w:rPr>
          <w:rFonts w:hint="eastAsia" w:ascii="仿宋" w:hAnsi="仿宋" w:eastAsia="仿宋" w:cs="仿宋"/>
          <w:kern w:val="0"/>
          <w:sz w:val="25"/>
          <w:szCs w:val="25"/>
          <w:bdr w:val="none" w:color="auto" w:sz="0" w:space="0"/>
          <w:lang w:val="en-US" w:eastAsia="zh-CN" w:bidi="ar"/>
        </w:rPr>
        <w:t>根据发达国家及上海重庆经验，房地产税率主要采取累进税率、平均税率方式，且税率较低。此前上海重庆分别采用0.4%、0.6%两档和0.5%、1%、1.2%三档税率，预计试点城市将因城施策，税率一开始不会太高。</w:t>
      </w:r>
      <w:r>
        <w:rPr>
          <w:rStyle w:val="6"/>
          <w:rFonts w:hint="eastAsia" w:ascii="仿宋" w:hAnsi="仿宋" w:eastAsia="仿宋" w:cs="仿宋"/>
          <w:b/>
          <w:bCs/>
          <w:kern w:val="0"/>
          <w:sz w:val="25"/>
          <w:szCs w:val="25"/>
          <w:bdr w:val="none" w:color="auto" w:sz="0" w:space="0"/>
          <w:lang w:val="en-US" w:eastAsia="zh-CN" w:bidi="ar"/>
        </w:rPr>
        <w:t>5）从税收优惠看，可能采取首套免征和免征面积相结合的方式，同时对刚需及特殊群体免征。</w:t>
      </w:r>
      <w:r>
        <w:rPr>
          <w:rFonts w:hint="eastAsia" w:ascii="仿宋" w:hAnsi="仿宋" w:eastAsia="仿宋" w:cs="仿宋"/>
          <w:kern w:val="0"/>
          <w:sz w:val="25"/>
          <w:szCs w:val="25"/>
          <w:bdr w:val="none" w:color="auto" w:sz="0" w:space="0"/>
          <w:lang w:val="en-US" w:eastAsia="zh-CN" w:bidi="ar"/>
        </w:rPr>
        <w:t>此前上海试点方案的免征面积是人均居住面积的2倍，预计此次试点将对免征面积做出调整以扩大税基。</w:t>
      </w:r>
      <w:r>
        <w:rPr>
          <w:rStyle w:val="6"/>
          <w:rFonts w:hint="eastAsia" w:ascii="仿宋" w:hAnsi="仿宋" w:eastAsia="仿宋" w:cs="仿宋"/>
          <w:b/>
          <w:bCs/>
          <w:kern w:val="0"/>
          <w:sz w:val="25"/>
          <w:szCs w:val="25"/>
          <w:bdr w:val="none" w:color="auto" w:sz="0" w:space="0"/>
          <w:lang w:val="en-US" w:eastAsia="zh-CN" w:bidi="ar"/>
        </w:rPr>
        <w:t>6）目前争议点主要是：由于交易环节的契税、土地增值税等较重，开征存量环节的房地产税，能否降低交易环节税负，否则居民整体税负提升较大；如何解决解释民用住宅土地使用权年限70年和房地产税的关系及合理性，70年以后怎么办，能否给居民稳定预期；推出时点的选择，前期三道红线、贷款集中度管理、限购限贷等政策集中出台，当前房地产市场和土拍市场不景气。</w:t>
      </w:r>
      <w:r>
        <w:rPr>
          <w:rStyle w:val="6"/>
          <w:rFonts w:hint="eastAsia" w:ascii="仿宋" w:hAnsi="仿宋" w:eastAsia="仿宋" w:cs="仿宋"/>
          <w:b/>
          <w:bCs/>
          <w:color w:val="021EAA"/>
          <w:kern w:val="0"/>
          <w:sz w:val="25"/>
          <w:szCs w:val="25"/>
          <w:bdr w:val="none" w:color="auto" w:sz="0" w:space="0"/>
          <w:lang w:val="en-US" w:eastAsia="zh-CN" w:bidi="ar"/>
        </w:rPr>
        <w:br w:type="textWrapping"/>
      </w:r>
      <w:r>
        <w:rPr>
          <w:rStyle w:val="6"/>
          <w:rFonts w:hint="eastAsia" w:ascii="仿宋" w:hAnsi="仿宋" w:eastAsia="仿宋" w:cs="仿宋"/>
          <w:b/>
          <w:bCs/>
          <w:color w:val="021EAA"/>
          <w:kern w:val="0"/>
          <w:sz w:val="25"/>
          <w:szCs w:val="25"/>
          <w:bdr w:val="none" w:color="auto" w:sz="0" w:space="0"/>
          <w:lang w:val="en-US" w:eastAsia="zh-CN" w:bidi="ar"/>
        </w:rPr>
        <w:t>3 房地产税试点的影响</w:t>
      </w:r>
      <w:r>
        <w:rPr>
          <w:rStyle w:val="6"/>
          <w:rFonts w:hint="eastAsia" w:ascii="仿宋" w:hAnsi="仿宋" w:eastAsia="仿宋" w:cs="仿宋"/>
          <w:b/>
          <w:bCs/>
          <w:kern w:val="0"/>
          <w:sz w:val="25"/>
          <w:szCs w:val="25"/>
          <w:bdr w:val="none" w:color="auto" w:sz="0" w:space="0"/>
          <w:lang w:val="en-US" w:eastAsia="zh-CN" w:bidi="ar"/>
        </w:rPr>
        <w:t>由于此次房地产税开征以试点为主，征税力度一开始可能不会太大，循序渐进。2018年美国各州房地产税实际税率为0.27%-2.4%。但是，也要防止运动式“减碳”等重演。短期来看，当前房地产市场销售清淡、土地市场大幅流拍，因此房地产税在这个时点推出对市场压力不小，具体影响程度取决于征税力度。理想的政策推出时点应该是房地产周期向上、市场销售火热的时候，如2015-2016年，市场和企业能接得住。当然，政策从研究、制定到落地有时间跨度。我们之前提出“房地产是最坚硬的泡沫，力争软着陆，避免硬着陆，用时间换空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420"/>
        <w:jc w:val="both"/>
        <w:rPr>
          <w:rFonts w:hint="eastAsia" w:ascii="Microsoft YaHei UI" w:hAnsi="Microsoft YaHei UI" w:eastAsia="Microsoft YaHei UI" w:cs="Microsoft YaHei UI"/>
          <w:i w:val="0"/>
          <w:iCs w:val="0"/>
          <w:caps w:val="0"/>
          <w:color w:val="000000"/>
          <w:spacing w:val="8"/>
          <w:sz w:val="27"/>
          <w:szCs w:val="27"/>
        </w:rPr>
      </w:pPr>
      <w:r>
        <w:rPr>
          <w:rStyle w:val="6"/>
          <w:rFonts w:hint="eastAsia" w:ascii="仿宋" w:hAnsi="仿宋" w:eastAsia="仿宋" w:cs="仿宋"/>
          <w:b/>
          <w:bCs/>
          <w:i w:val="0"/>
          <w:iCs w:val="0"/>
          <w:caps w:val="0"/>
          <w:color w:val="000000"/>
          <w:spacing w:val="8"/>
          <w:sz w:val="25"/>
          <w:szCs w:val="25"/>
          <w:bdr w:val="none" w:color="auto" w:sz="0" w:space="0"/>
          <w:shd w:val="clear" w:fill="FFFFFF"/>
        </w:rPr>
        <w:t>长期来看，房地产税对具体区域的影响还是取决于供求关系。根据国际经验，在供不应求和货币超发的情况下，税负可以转嫁，反之则无法转嫁甚至增加区域市场压力。房地产长期看人口、中期看土地、短期看金融。</w:t>
      </w:r>
      <w:r>
        <w:rPr>
          <w:rFonts w:hint="eastAsia" w:ascii="仿宋" w:hAnsi="仿宋" w:eastAsia="仿宋" w:cs="仿宋"/>
          <w:i w:val="0"/>
          <w:iCs w:val="0"/>
          <w:caps w:val="0"/>
          <w:color w:val="000000"/>
          <w:spacing w:val="8"/>
          <w:sz w:val="25"/>
          <w:szCs w:val="25"/>
          <w:bdr w:val="none" w:color="auto" w:sz="0" w:space="0"/>
          <w:shd w:val="clear" w:fill="FFFFFF"/>
        </w:rPr>
        <w:t>根据我们的研究，未来中国人口将向都市圈城市群和区域中心城市集聚，人口流入和流出地区的房地产市场将出现明显分化，这在美国、日本等均发生过（参考《</w:t>
      </w:r>
      <w:r>
        <w:rPr>
          <w:rFonts w:hint="eastAsia" w:ascii="仿宋" w:hAnsi="仿宋" w:eastAsia="仿宋" w:cs="仿宋"/>
          <w:i w:val="0"/>
          <w:iCs w:val="0"/>
          <w:caps w:val="0"/>
          <w:color w:val="576B95"/>
          <w:spacing w:val="8"/>
          <w:sz w:val="25"/>
          <w:szCs w:val="25"/>
          <w:u w:val="none"/>
          <w:bdr w:val="none" w:color="auto" w:sz="0" w:space="0"/>
          <w:shd w:val="clear" w:fill="FFFFFF"/>
        </w:rPr>
        <w:fldChar w:fldCharType="begin"/>
      </w:r>
      <w:r>
        <w:rPr>
          <w:rFonts w:hint="eastAsia" w:ascii="仿宋" w:hAnsi="仿宋" w:eastAsia="仿宋" w:cs="仿宋"/>
          <w:i w:val="0"/>
          <w:iCs w:val="0"/>
          <w:caps w:val="0"/>
          <w:color w:val="576B95"/>
          <w:spacing w:val="8"/>
          <w:sz w:val="25"/>
          <w:szCs w:val="25"/>
          <w:u w:val="none"/>
          <w:bdr w:val="none" w:color="auto" w:sz="0" w:space="0"/>
          <w:shd w:val="clear" w:fill="FFFFFF"/>
        </w:rPr>
        <w:instrText xml:space="preserve"> HYPERLINK "http://mp.weixin.qq.com/s?__biz=Mzg3NzYwMzU1MQ==&amp;mid=2247515348&amp;idx=1&amp;sn=864c0d15edcf2eafbb97a7e6ef07ab8c&amp;chksm=cf228364f8550a72b7fc79e69e265009f08ffd649ed1f55311151ee6af7c3e5b2f83b7c33653&amp;scene=21" \l "wechat_redirect" \t "https://o.gaodun.com/arc/_blank" </w:instrText>
      </w:r>
      <w:r>
        <w:rPr>
          <w:rFonts w:hint="eastAsia" w:ascii="仿宋" w:hAnsi="仿宋" w:eastAsia="仿宋" w:cs="仿宋"/>
          <w:i w:val="0"/>
          <w:iCs w:val="0"/>
          <w:caps w:val="0"/>
          <w:color w:val="576B95"/>
          <w:spacing w:val="8"/>
          <w:sz w:val="25"/>
          <w:szCs w:val="25"/>
          <w:u w:val="none"/>
          <w:bdr w:val="none" w:color="auto" w:sz="0" w:space="0"/>
          <w:shd w:val="clear" w:fill="FFFFFF"/>
        </w:rPr>
        <w:fldChar w:fldCharType="separate"/>
      </w:r>
      <w:r>
        <w:rPr>
          <w:rStyle w:val="7"/>
          <w:rFonts w:hint="eastAsia" w:ascii="仿宋" w:hAnsi="仿宋" w:eastAsia="仿宋" w:cs="仿宋"/>
          <w:i w:val="0"/>
          <w:iCs w:val="0"/>
          <w:caps w:val="0"/>
          <w:color w:val="576B95"/>
          <w:spacing w:val="8"/>
          <w:sz w:val="25"/>
          <w:szCs w:val="25"/>
          <w:u w:val="none"/>
          <w:bdr w:val="none" w:color="auto" w:sz="0" w:space="0"/>
          <w:shd w:val="clear" w:fill="FFFFFF"/>
        </w:rPr>
        <w:t>中国人口大迁移</w:t>
      </w:r>
      <w:r>
        <w:rPr>
          <w:rFonts w:hint="eastAsia" w:ascii="仿宋" w:hAnsi="仿宋" w:eastAsia="仿宋" w:cs="仿宋"/>
          <w:i w:val="0"/>
          <w:iCs w:val="0"/>
          <w:caps w:val="0"/>
          <w:color w:val="576B95"/>
          <w:spacing w:val="8"/>
          <w:sz w:val="25"/>
          <w:szCs w:val="25"/>
          <w:u w:val="none"/>
          <w:bdr w:val="none" w:color="auto" w:sz="0" w:space="0"/>
          <w:shd w:val="clear" w:fill="FFFFFF"/>
        </w:rPr>
        <w:fldChar w:fldCharType="end"/>
      </w:r>
      <w:r>
        <w:rPr>
          <w:rFonts w:hint="eastAsia" w:ascii="仿宋" w:hAnsi="仿宋" w:eastAsia="仿宋" w:cs="仿宋"/>
          <w:i w:val="0"/>
          <w:iCs w:val="0"/>
          <w:caps w:val="0"/>
          <w:color w:val="000000"/>
          <w:spacing w:val="8"/>
          <w:sz w:val="25"/>
          <w:szCs w:val="25"/>
          <w:bdr w:val="none" w:color="auto" w:sz="0" w:space="0"/>
          <w:shd w:val="clear" w:fill="FFFFFF"/>
        </w:rPr>
        <w:t>》《</w:t>
      </w:r>
      <w:r>
        <w:rPr>
          <w:rFonts w:hint="eastAsia" w:ascii="仿宋" w:hAnsi="仿宋" w:eastAsia="仿宋" w:cs="仿宋"/>
          <w:i w:val="0"/>
          <w:iCs w:val="0"/>
          <w:caps w:val="0"/>
          <w:color w:val="576B95"/>
          <w:spacing w:val="8"/>
          <w:sz w:val="25"/>
          <w:szCs w:val="25"/>
          <w:u w:val="none"/>
          <w:bdr w:val="none" w:color="auto" w:sz="0" w:space="0"/>
          <w:shd w:val="clear" w:fill="FFFFFF"/>
        </w:rPr>
        <w:fldChar w:fldCharType="begin"/>
      </w:r>
      <w:r>
        <w:rPr>
          <w:rFonts w:hint="eastAsia" w:ascii="仿宋" w:hAnsi="仿宋" w:eastAsia="仿宋" w:cs="仿宋"/>
          <w:i w:val="0"/>
          <w:iCs w:val="0"/>
          <w:caps w:val="0"/>
          <w:color w:val="576B95"/>
          <w:spacing w:val="8"/>
          <w:sz w:val="25"/>
          <w:szCs w:val="25"/>
          <w:u w:val="none"/>
          <w:bdr w:val="none" w:color="auto" w:sz="0" w:space="0"/>
          <w:shd w:val="clear" w:fill="FFFFFF"/>
        </w:rPr>
        <w:instrText xml:space="preserve"> HYPERLINK "http://mp.weixin.qq.com/s?__biz=Mzg3NzYwMzU1MQ==&amp;mid=2247515435&amp;idx=1&amp;sn=862b02bc5b856a810ba93f71d2c6ae13&amp;chksm=cf22829bf8550b8dd88e02b1eeb9be572d598de06a225d212963cbe4c00bdcccce7ac3ed8856&amp;scene=21" \l "wechat_redirect" \t "https://o.gaodun.com/arc/_blank" </w:instrText>
      </w:r>
      <w:r>
        <w:rPr>
          <w:rFonts w:hint="eastAsia" w:ascii="仿宋" w:hAnsi="仿宋" w:eastAsia="仿宋" w:cs="仿宋"/>
          <w:i w:val="0"/>
          <w:iCs w:val="0"/>
          <w:caps w:val="0"/>
          <w:color w:val="576B95"/>
          <w:spacing w:val="8"/>
          <w:sz w:val="25"/>
          <w:szCs w:val="25"/>
          <w:u w:val="none"/>
          <w:bdr w:val="none" w:color="auto" w:sz="0" w:space="0"/>
          <w:shd w:val="clear" w:fill="FFFFFF"/>
        </w:rPr>
        <w:fldChar w:fldCharType="separate"/>
      </w:r>
      <w:r>
        <w:rPr>
          <w:rStyle w:val="7"/>
          <w:rFonts w:hint="eastAsia" w:ascii="仿宋" w:hAnsi="仿宋" w:eastAsia="仿宋" w:cs="仿宋"/>
          <w:i w:val="0"/>
          <w:iCs w:val="0"/>
          <w:caps w:val="0"/>
          <w:color w:val="576B95"/>
          <w:spacing w:val="8"/>
          <w:sz w:val="25"/>
          <w:szCs w:val="25"/>
          <w:u w:val="none"/>
          <w:bdr w:val="none" w:color="auto" w:sz="0" w:space="0"/>
          <w:shd w:val="clear" w:fill="FFFFFF"/>
        </w:rPr>
        <w:t>中国城市人才吸引力排名：2021</w:t>
      </w:r>
      <w:r>
        <w:rPr>
          <w:rFonts w:hint="eastAsia" w:ascii="仿宋" w:hAnsi="仿宋" w:eastAsia="仿宋" w:cs="仿宋"/>
          <w:i w:val="0"/>
          <w:iCs w:val="0"/>
          <w:caps w:val="0"/>
          <w:color w:val="576B95"/>
          <w:spacing w:val="8"/>
          <w:sz w:val="25"/>
          <w:szCs w:val="25"/>
          <w:u w:val="none"/>
          <w:bdr w:val="none" w:color="auto" w:sz="0" w:space="0"/>
          <w:shd w:val="clear" w:fill="FFFFFF"/>
        </w:rPr>
        <w:fldChar w:fldCharType="end"/>
      </w:r>
      <w:r>
        <w:rPr>
          <w:rFonts w:hint="eastAsia" w:ascii="仿宋" w:hAnsi="仿宋" w:eastAsia="仿宋" w:cs="仿宋"/>
          <w:i w:val="0"/>
          <w:iCs w:val="0"/>
          <w:caps w:val="0"/>
          <w:color w:val="000000"/>
          <w:spacing w:val="8"/>
          <w:sz w:val="25"/>
          <w:szCs w:val="25"/>
          <w:bdr w:val="none" w:color="auto" w:sz="0" w:space="0"/>
          <w:shd w:val="clear" w:fill="FFFFFF"/>
        </w:rPr>
        <w:t>》）。根据我们《</w:t>
      </w:r>
      <w:r>
        <w:rPr>
          <w:rFonts w:hint="eastAsia" w:ascii="仿宋" w:hAnsi="仿宋" w:eastAsia="仿宋" w:cs="仿宋"/>
          <w:i w:val="0"/>
          <w:iCs w:val="0"/>
          <w:caps w:val="0"/>
          <w:color w:val="576B95"/>
          <w:spacing w:val="8"/>
          <w:sz w:val="25"/>
          <w:szCs w:val="25"/>
          <w:u w:val="none"/>
          <w:bdr w:val="none" w:color="auto" w:sz="0" w:space="0"/>
          <w:shd w:val="clear" w:fill="FFFFFF"/>
        </w:rPr>
        <w:fldChar w:fldCharType="begin"/>
      </w:r>
      <w:r>
        <w:rPr>
          <w:rFonts w:hint="eastAsia" w:ascii="仿宋" w:hAnsi="仿宋" w:eastAsia="仿宋" w:cs="仿宋"/>
          <w:i w:val="0"/>
          <w:iCs w:val="0"/>
          <w:caps w:val="0"/>
          <w:color w:val="576B95"/>
          <w:spacing w:val="8"/>
          <w:sz w:val="25"/>
          <w:szCs w:val="25"/>
          <w:u w:val="none"/>
          <w:bdr w:val="none" w:color="auto" w:sz="0" w:space="0"/>
          <w:shd w:val="clear" w:fill="FFFFFF"/>
        </w:rPr>
        <w:instrText xml:space="preserve"> HYPERLINK "http://mp.weixin.qq.com/s?__biz=Mzg3NzYwMzU1MQ==&amp;mid=2247515462&amp;idx=1&amp;sn=42fa99dadea0c57a8ee35ef4abf17571&amp;chksm=cf2282f6f8550be072a9d092c8331095c28c55d76f60196918165e906df10a1333a992edc230&amp;scene=21" \l "wechat_redirect" \t "https://o.gaodun.com/arc/_blank" </w:instrText>
      </w:r>
      <w:r>
        <w:rPr>
          <w:rFonts w:hint="eastAsia" w:ascii="仿宋" w:hAnsi="仿宋" w:eastAsia="仿宋" w:cs="仿宋"/>
          <w:i w:val="0"/>
          <w:iCs w:val="0"/>
          <w:caps w:val="0"/>
          <w:color w:val="576B95"/>
          <w:spacing w:val="8"/>
          <w:sz w:val="25"/>
          <w:szCs w:val="25"/>
          <w:u w:val="none"/>
          <w:bdr w:val="none" w:color="auto" w:sz="0" w:space="0"/>
          <w:shd w:val="clear" w:fill="FFFFFF"/>
        </w:rPr>
        <w:fldChar w:fldCharType="separate"/>
      </w:r>
      <w:r>
        <w:rPr>
          <w:rStyle w:val="7"/>
          <w:rFonts w:hint="eastAsia" w:ascii="仿宋" w:hAnsi="仿宋" w:eastAsia="仿宋" w:cs="仿宋"/>
          <w:i w:val="0"/>
          <w:iCs w:val="0"/>
          <w:caps w:val="0"/>
          <w:color w:val="576B95"/>
          <w:spacing w:val="8"/>
          <w:sz w:val="25"/>
          <w:szCs w:val="25"/>
          <w:u w:val="none"/>
          <w:bdr w:val="none" w:color="auto" w:sz="0" w:space="0"/>
          <w:shd w:val="clear" w:fill="FFFFFF"/>
        </w:rPr>
        <w:t>中国住房存量报告：2021</w:t>
      </w:r>
      <w:r>
        <w:rPr>
          <w:rFonts w:hint="eastAsia" w:ascii="仿宋" w:hAnsi="仿宋" w:eastAsia="仿宋" w:cs="仿宋"/>
          <w:i w:val="0"/>
          <w:iCs w:val="0"/>
          <w:caps w:val="0"/>
          <w:color w:val="576B95"/>
          <w:spacing w:val="8"/>
          <w:sz w:val="25"/>
          <w:szCs w:val="25"/>
          <w:u w:val="none"/>
          <w:bdr w:val="none" w:color="auto" w:sz="0" w:space="0"/>
          <w:shd w:val="clear" w:fill="FFFFFF"/>
        </w:rPr>
        <w:fldChar w:fldCharType="end"/>
      </w:r>
      <w:r>
        <w:rPr>
          <w:rFonts w:hint="eastAsia" w:ascii="仿宋" w:hAnsi="仿宋" w:eastAsia="仿宋" w:cs="仿宋"/>
          <w:i w:val="0"/>
          <w:iCs w:val="0"/>
          <w:caps w:val="0"/>
          <w:color w:val="000000"/>
          <w:spacing w:val="8"/>
          <w:sz w:val="25"/>
          <w:szCs w:val="25"/>
          <w:bdr w:val="none" w:color="auto" w:sz="0" w:space="0"/>
          <w:shd w:val="clear" w:fill="FFFFFF"/>
        </w:rPr>
        <w:t>》测算，2020年中国城镇住房套户比为1.09，一线、二线、三四线城市分别为0.97、1.08、1.12，中国住房整体已经静态平衡，但是区域供求差异极大，随着人口往都市圈城市群流入，未来仍面临住房短缺现象，但东北、西北以及非都市圈城市群的低能级城市，由于人口外迁严重，不仅已经出现供给过剩，而且未来过剩程度还将加深。</w:t>
      </w:r>
      <w:r>
        <w:rPr>
          <w:rStyle w:val="6"/>
          <w:rFonts w:hint="eastAsia" w:ascii="仿宋" w:hAnsi="仿宋" w:eastAsia="仿宋" w:cs="仿宋"/>
          <w:b/>
          <w:bCs/>
          <w:i w:val="0"/>
          <w:iCs w:val="0"/>
          <w:caps w:val="0"/>
          <w:color w:val="000000"/>
          <w:spacing w:val="8"/>
          <w:sz w:val="25"/>
          <w:szCs w:val="25"/>
          <w:bdr w:val="none" w:color="auto" w:sz="0" w:space="0"/>
          <w:shd w:val="clear" w:fill="FFFFFF"/>
        </w:rPr>
        <w:t>长远来看，住房制度改革的治本之策是城市群战略、人地挂钩、金融稳定和房地产税</w:t>
      </w:r>
      <w:r>
        <w:rPr>
          <w:rFonts w:hint="eastAsia" w:ascii="仿宋" w:hAnsi="仿宋" w:eastAsia="仿宋" w:cs="仿宋"/>
          <w:i w:val="0"/>
          <w:iCs w:val="0"/>
          <w:caps w:val="0"/>
          <w:color w:val="000000"/>
          <w:spacing w:val="8"/>
          <w:sz w:val="25"/>
          <w:szCs w:val="25"/>
          <w:bdr w:val="none" w:color="auto" w:sz="0" w:space="0"/>
          <w:shd w:val="clear" w:fill="FFFFFF"/>
        </w:rPr>
        <w:t>，从而实现供求平衡，以改变当前人地错配、供求分离以及一二线高房价、三四线高库存的问题。</w:t>
      </w:r>
      <w:r>
        <w:rPr>
          <w:rFonts w:hint="eastAsia" w:ascii="Microsoft YaHei UI" w:hAnsi="Microsoft YaHei UI" w:eastAsia="Microsoft YaHei UI" w:cs="Microsoft YaHei UI"/>
          <w:i w:val="0"/>
          <w:iCs w:val="0"/>
          <w:caps w:val="0"/>
          <w:color w:val="000000"/>
          <w:spacing w:val="8"/>
          <w:sz w:val="27"/>
          <w:szCs w:val="27"/>
          <w:bdr w:val="none" w:color="auto" w:sz="0" w:space="0"/>
          <w:shd w:val="clear" w:fill="FFFFFF"/>
        </w:rPr>
        <w:drawing>
          <wp:inline distT="0" distB="0" distL="114300" distR="114300">
            <wp:extent cx="5373370" cy="3776345"/>
            <wp:effectExtent l="0" t="0" r="17780" b="1460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373370" cy="3776345"/>
                    </a:xfrm>
                    <a:prstGeom prst="rect">
                      <a:avLst/>
                    </a:prstGeom>
                    <a:noFill/>
                    <a:ln w="9525">
                      <a:noFill/>
                    </a:ln>
                  </pic:spPr>
                </pic:pic>
              </a:graphicData>
            </a:graphic>
          </wp:inline>
        </w:drawing>
      </w:r>
    </w:p>
    <w:p>
      <w:pPr>
        <w:keepNext w:val="0"/>
        <w:keepLines w:val="0"/>
        <w:widowControl/>
        <w:suppressLineNumbers w:val="0"/>
        <w:jc w:val="left"/>
      </w:pPr>
      <w:r>
        <w:rPr>
          <w:rFonts w:hint="eastAsia" w:ascii="仿宋" w:hAnsi="仿宋" w:eastAsia="仿宋" w:cs="仿宋"/>
          <w:kern w:val="0"/>
          <w:sz w:val="25"/>
          <w:szCs w:val="25"/>
          <w:bdr w:val="none" w:color="auto" w:sz="0" w:space="0"/>
          <w:lang w:val="en-US" w:eastAsia="zh-CN" w:bidi="ar"/>
        </w:rPr>
        <w:drawing>
          <wp:inline distT="0" distB="0" distL="114300" distR="114300">
            <wp:extent cx="4752975" cy="3371215"/>
            <wp:effectExtent l="0" t="0" r="9525" b="63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752975" cy="337121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hint="eastAsia" w:ascii="仿宋" w:hAnsi="仿宋" w:eastAsia="仿宋" w:cs="仿宋"/>
          <w:kern w:val="0"/>
          <w:sz w:val="25"/>
          <w:szCs w:val="25"/>
          <w:bdr w:val="none" w:color="auto" w:sz="0" w:space="0"/>
          <w:lang w:val="en-US" w:eastAsia="zh-CN" w:bidi="ar"/>
        </w:rPr>
        <w:drawing>
          <wp:inline distT="0" distB="0" distL="114300" distR="114300">
            <wp:extent cx="4392295" cy="3110230"/>
            <wp:effectExtent l="0" t="0" r="8255" b="1397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4392295" cy="3110230"/>
                    </a:xfrm>
                    <a:prstGeom prst="rect">
                      <a:avLst/>
                    </a:prstGeom>
                    <a:noFill/>
                    <a:ln w="9525">
                      <a:noFill/>
                    </a:ln>
                  </pic:spPr>
                </pic:pic>
              </a:graphicData>
            </a:graphic>
          </wp:inline>
        </w:drawing>
      </w:r>
      <w:r>
        <w:rPr>
          <w:rStyle w:val="6"/>
          <w:rFonts w:hint="eastAsia" w:ascii="仿宋" w:hAnsi="仿宋" w:eastAsia="仿宋" w:cs="仿宋"/>
          <w:b/>
          <w:bCs/>
          <w:color w:val="021EAA"/>
          <w:kern w:val="0"/>
          <w:sz w:val="25"/>
          <w:szCs w:val="25"/>
          <w:bdr w:val="none" w:color="auto" w:sz="0" w:space="0"/>
          <w:lang w:val="en-US" w:eastAsia="zh-CN" w:bidi="ar"/>
        </w:rPr>
        <w:br w:type="textWrapping"/>
      </w:r>
      <w:r>
        <w:rPr>
          <w:rStyle w:val="6"/>
          <w:rFonts w:hint="eastAsia" w:ascii="仿宋" w:hAnsi="仿宋" w:eastAsia="仿宋" w:cs="仿宋"/>
          <w:b/>
          <w:bCs/>
          <w:color w:val="021EAA"/>
          <w:kern w:val="0"/>
          <w:sz w:val="25"/>
          <w:szCs w:val="25"/>
          <w:bdr w:val="none" w:color="auto" w:sz="0" w:space="0"/>
          <w:lang w:val="en-US" w:eastAsia="zh-CN" w:bidi="ar"/>
        </w:rPr>
        <w:t>4 展望</w:t>
      </w:r>
      <w:r>
        <w:rPr>
          <w:rStyle w:val="6"/>
          <w:rFonts w:hint="eastAsia" w:ascii="仿宋" w:hAnsi="仿宋" w:eastAsia="仿宋" w:cs="仿宋"/>
          <w:b/>
          <w:bCs/>
          <w:kern w:val="0"/>
          <w:sz w:val="25"/>
          <w:szCs w:val="25"/>
          <w:bdr w:val="none" w:color="auto" w:sz="0" w:space="0"/>
          <w:lang w:val="en-US" w:eastAsia="zh-CN" w:bidi="ar"/>
        </w:rPr>
        <w:t>经全国人大授权，预计未来房地产税将在房价上涨压力较大的热点城市试点，力度大于上海和重庆现有试点。试点后将逐步扩围。</w:t>
      </w:r>
      <w:r>
        <w:rPr>
          <w:rFonts w:hint="eastAsia" w:ascii="仿宋" w:hAnsi="仿宋" w:eastAsia="仿宋" w:cs="仿宋"/>
          <w:kern w:val="0"/>
          <w:sz w:val="25"/>
          <w:szCs w:val="25"/>
          <w:bdr w:val="none" w:color="auto" w:sz="0" w:space="0"/>
          <w:lang w:val="en-US" w:eastAsia="zh-CN" w:bidi="ar"/>
        </w:rPr>
        <w:t>《决定》提出，“本决定授权的试点期限为五年。条件成熟时，及时制定法律。”</w:t>
      </w:r>
      <w:r>
        <w:rPr>
          <w:rStyle w:val="6"/>
          <w:rFonts w:hint="eastAsia" w:ascii="仿宋" w:hAnsi="仿宋" w:eastAsia="仿宋" w:cs="仿宋"/>
          <w:b/>
          <w:bCs/>
          <w:kern w:val="0"/>
          <w:sz w:val="25"/>
          <w:szCs w:val="25"/>
          <w:bdr w:val="none" w:color="auto" w:sz="0" w:space="0"/>
          <w:lang w:val="en-US" w:eastAsia="zh-CN" w:bidi="ar"/>
        </w:rPr>
        <w:t>随着存量房时代来临，从土地财政向房地产税转型开始启动。</w:t>
      </w:r>
      <w:r>
        <w:rPr>
          <w:rFonts w:hint="eastAsia" w:ascii="仿宋" w:hAnsi="仿宋" w:eastAsia="仿宋" w:cs="仿宋"/>
          <w:kern w:val="0"/>
          <w:sz w:val="25"/>
          <w:szCs w:val="25"/>
          <w:bdr w:val="none" w:color="auto" w:sz="0" w:space="0"/>
          <w:lang w:val="en-US" w:eastAsia="zh-CN" w:bidi="ar"/>
        </w:rPr>
        <w:t>根据《</w:t>
      </w:r>
      <w:r>
        <w:rPr>
          <w:rFonts w:hint="eastAsia" w:ascii="仿宋" w:hAnsi="仿宋" w:eastAsia="仿宋" w:cs="仿宋"/>
          <w:color w:val="576B95"/>
          <w:kern w:val="0"/>
          <w:sz w:val="25"/>
          <w:szCs w:val="25"/>
          <w:u w:val="none"/>
          <w:bdr w:val="none" w:color="auto" w:sz="0" w:space="0"/>
          <w:lang w:val="en-US" w:eastAsia="zh-CN" w:bidi="ar"/>
        </w:rPr>
        <w:fldChar w:fldCharType="begin"/>
      </w:r>
      <w:r>
        <w:rPr>
          <w:rFonts w:hint="eastAsia" w:ascii="仿宋" w:hAnsi="仿宋" w:eastAsia="仿宋" w:cs="仿宋"/>
          <w:color w:val="576B95"/>
          <w:kern w:val="0"/>
          <w:sz w:val="25"/>
          <w:szCs w:val="25"/>
          <w:u w:val="none"/>
          <w:bdr w:val="none" w:color="auto" w:sz="0" w:space="0"/>
          <w:lang w:val="en-US" w:eastAsia="zh-CN" w:bidi="ar"/>
        </w:rPr>
        <w:instrText xml:space="preserve"> HYPERLINK "http://mp.weixin.qq.com/s?__biz=Mzg3NzYwMzU1MQ==&amp;mid=2247515345&amp;idx=1&amp;sn=32ec137e4cf7a8d22da026cbb9e4a36e&amp;chksm=cf228361f8550a778a88df8141e639355b33aad7930d5b311866c6f19f7bc655366ea2deeb03&amp;scene=21" \l "wechat_redirect" \t "https://o.gaodun.com/arc/_blank" </w:instrText>
      </w:r>
      <w:r>
        <w:rPr>
          <w:rFonts w:hint="eastAsia" w:ascii="仿宋" w:hAnsi="仿宋" w:eastAsia="仿宋" w:cs="仿宋"/>
          <w:color w:val="576B95"/>
          <w:kern w:val="0"/>
          <w:sz w:val="25"/>
          <w:szCs w:val="25"/>
          <w:u w:val="none"/>
          <w:bdr w:val="none" w:color="auto" w:sz="0" w:space="0"/>
          <w:lang w:val="en-US" w:eastAsia="zh-CN" w:bidi="ar"/>
        </w:rPr>
        <w:fldChar w:fldCharType="separate"/>
      </w:r>
      <w:r>
        <w:rPr>
          <w:rStyle w:val="7"/>
          <w:rFonts w:hint="eastAsia" w:ascii="仿宋" w:hAnsi="仿宋" w:eastAsia="仿宋" w:cs="仿宋"/>
          <w:color w:val="576B95"/>
          <w:sz w:val="25"/>
          <w:szCs w:val="25"/>
          <w:u w:val="none"/>
          <w:bdr w:val="none" w:color="auto" w:sz="0" w:space="0"/>
        </w:rPr>
        <w:t>中国住房市值报告：2021</w:t>
      </w:r>
      <w:r>
        <w:rPr>
          <w:rFonts w:hint="eastAsia" w:ascii="仿宋" w:hAnsi="仿宋" w:eastAsia="仿宋" w:cs="仿宋"/>
          <w:color w:val="576B95"/>
          <w:kern w:val="0"/>
          <w:sz w:val="25"/>
          <w:szCs w:val="25"/>
          <w:u w:val="none"/>
          <w:bdr w:val="none" w:color="auto" w:sz="0" w:space="0"/>
          <w:lang w:val="en-US" w:eastAsia="zh-CN" w:bidi="ar"/>
        </w:rPr>
        <w:fldChar w:fldCharType="end"/>
      </w:r>
      <w:r>
        <w:rPr>
          <w:rFonts w:hint="eastAsia" w:ascii="仿宋" w:hAnsi="仿宋" w:eastAsia="仿宋" w:cs="仿宋"/>
          <w:kern w:val="0"/>
          <w:sz w:val="25"/>
          <w:szCs w:val="25"/>
          <w:bdr w:val="none" w:color="auto" w:sz="0" w:space="0"/>
          <w:lang w:val="en-US" w:eastAsia="zh-CN" w:bidi="ar"/>
        </w:rPr>
        <w:t>》测算，</w:t>
      </w:r>
      <w:r>
        <w:rPr>
          <w:rStyle w:val="6"/>
          <w:rFonts w:hint="eastAsia" w:ascii="仿宋" w:hAnsi="仿宋" w:eastAsia="仿宋" w:cs="仿宋"/>
          <w:b/>
          <w:bCs/>
          <w:kern w:val="0"/>
          <w:sz w:val="25"/>
          <w:szCs w:val="25"/>
          <w:bdr w:val="none" w:color="auto" w:sz="0" w:space="0"/>
          <w:lang w:val="en-US" w:eastAsia="zh-CN" w:bidi="ar"/>
        </w:rPr>
        <w:t>2020年中国住房市值418万亿元，是GDP的4.1倍，占股债房市值的66%</w:t>
      </w:r>
      <w:r>
        <w:rPr>
          <w:rFonts w:hint="eastAsia" w:ascii="仿宋" w:hAnsi="仿宋" w:eastAsia="仿宋" w:cs="仿宋"/>
          <w:kern w:val="0"/>
          <w:sz w:val="25"/>
          <w:szCs w:val="25"/>
          <w:bdr w:val="none" w:color="auto" w:sz="0" w:space="0"/>
          <w:lang w:val="en-US" w:eastAsia="zh-CN" w:bidi="ar"/>
        </w:rPr>
        <w:t>。从住房市值与GDP的比例看，2020年中国为414%，高于美国、日本、德国、英国、法国的148%、233%、271%、339%、354%。2000-2020年中国住房市值从23万亿元增加到418万亿元，年均增长15.6%；人均住房市值从1.8万元到29.6万元，年均增长15%，高于人均GDP的12.3%；城镇人均住房市值从4.5万元到43.4万元，年均增长12%。</w:t>
      </w:r>
      <w:r>
        <w:rPr>
          <w:rFonts w:hint="eastAsia" w:ascii="仿宋" w:hAnsi="仿宋" w:eastAsia="仿宋" w:cs="仿宋"/>
          <w:kern w:val="0"/>
          <w:sz w:val="25"/>
          <w:szCs w:val="25"/>
          <w:bdr w:val="none" w:color="auto" w:sz="0" w:space="0"/>
          <w:lang w:val="en-US" w:eastAsia="zh-CN" w:bidi="ar"/>
        </w:rPr>
        <w:drawing>
          <wp:inline distT="0" distB="0" distL="114300" distR="114300">
            <wp:extent cx="4676775" cy="3279140"/>
            <wp:effectExtent l="0" t="0" r="9525" b="16510"/>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0"/>
                    <a:stretch>
                      <a:fillRect/>
                    </a:stretch>
                  </pic:blipFill>
                  <pic:spPr>
                    <a:xfrm>
                      <a:off x="0" y="0"/>
                      <a:ext cx="4676775" cy="327914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Style w:val="6"/>
          <w:rFonts w:hint="eastAsia" w:ascii="仿宋" w:hAnsi="仿宋" w:eastAsia="仿宋" w:cs="仿宋"/>
          <w:b/>
          <w:bCs/>
          <w:kern w:val="0"/>
          <w:sz w:val="25"/>
          <w:szCs w:val="25"/>
          <w:bdr w:val="none" w:color="auto" w:sz="0" w:space="0"/>
          <w:lang w:val="en-US" w:eastAsia="zh-CN" w:bidi="ar"/>
        </w:rPr>
        <w:t>什么是大势？就是降低房地产、金融、教育、互联网等的利润和垄断，以及由此引发的过去长期对民生和实体经济的挤压和成本，大力发展制造业、硬科技、实体经济、新能源、新基建、资本市场等。百年未遇之大变局，也是百年未有之大机遇。看清这一大趋势，至关重要。每个企业每个人最终都是时代的产物。中国未来中长期面临三大挑战：中美贸易摩擦及脱钩风险、人口老龄化少子化加速到来、房地产最坚硬的泡沫如何避免硬着陆实现软着陆。面对这三大挑战，我们实施了一系列战略和政策调整，比如实现科技自立自强、解决“卡脖子”技术、注册制和北交所为“专精特新”服务、大力推进新能源和新能源汽车革命、放开三孩、清理校外培训、延迟退休年龄、反垄断和防止资本无序扩张、试点房产税、三道红线、贷款集中度管理等。如果你选择做正确的事，运气就在你这边。</w:t>
      </w:r>
      <w:r>
        <w:rPr>
          <w:rStyle w:val="6"/>
          <w:rFonts w:hint="eastAsia" w:ascii="仿宋" w:hAnsi="仿宋" w:eastAsia="仿宋" w:cs="仿宋"/>
          <w:b/>
          <w:bCs/>
          <w:kern w:val="0"/>
          <w:sz w:val="25"/>
          <w:szCs w:val="25"/>
          <w:bdr w:val="none" w:color="auto" w:sz="0" w:space="0"/>
          <w:lang w:val="en-US" w:eastAsia="zh-CN" w:bidi="ar"/>
        </w:rPr>
        <w:br w:type="textWrapping"/>
      </w:r>
      <w:r>
        <w:rPr>
          <w:rStyle w:val="6"/>
          <w:rFonts w:hint="eastAsia" w:ascii="仿宋" w:hAnsi="仿宋" w:eastAsia="仿宋" w:cs="仿宋"/>
          <w:b/>
          <w:bCs/>
          <w:color w:val="021EAA"/>
          <w:kern w:val="0"/>
          <w:sz w:val="25"/>
          <w:szCs w:val="25"/>
          <w:bdr w:val="none" w:color="auto" w:sz="0" w:space="0"/>
          <w:lang w:val="en-US" w:eastAsia="zh-CN" w:bidi="ar"/>
        </w:rPr>
        <w:t>5 他山之石：美国、英国、日本如何征收房地产税</w:t>
      </w:r>
      <w:r>
        <w:rPr>
          <w:rStyle w:val="6"/>
          <w:rFonts w:hint="eastAsia" w:ascii="仿宋" w:hAnsi="仿宋" w:eastAsia="仿宋" w:cs="仿宋"/>
          <w:b/>
          <w:bCs/>
          <w:kern w:val="0"/>
          <w:sz w:val="25"/>
          <w:szCs w:val="25"/>
          <w:bdr w:val="none" w:color="auto" w:sz="0" w:space="0"/>
          <w:lang w:val="en-US" w:eastAsia="zh-CN" w:bidi="ar"/>
        </w:rPr>
        <w:t>各国房产税形式多样，政策不一。从计税基础看，主要有两种：一是以虚拟租金为征税基础；二是以评估价值为征税基础。从税率看，发达国家主要采用累进税率和平均税率。从税收优惠看，发达国家主要采用税额抵扣、延迟纳税、减税、设置起征点等方式。1）美国土地、房屋一体化征税，房地产税以评估价值为计税基础，评估价值与市场价值接近，税率通过地方政府“以支定收”确定。</w:t>
      </w:r>
      <w:r>
        <w:rPr>
          <w:rFonts w:hint="eastAsia" w:ascii="仿宋" w:hAnsi="仿宋" w:eastAsia="仿宋" w:cs="仿宋"/>
          <w:kern w:val="0"/>
          <w:sz w:val="25"/>
          <w:szCs w:val="25"/>
          <w:bdr w:val="none" w:color="auto" w:sz="0" w:space="0"/>
          <w:lang w:val="en-US" w:eastAsia="zh-CN" w:bidi="ar"/>
        </w:rPr>
        <w:t>美国对土地、房屋实行一体化征税模式，通常由郡政府统一征收，然后划转到相应部门。房地产税=评估价值×评估率×名义税率。从计税基础看，美国以评估价值为计税依据，评估价值和市场价值较为接近；有些州并不对评估价值进行全额征收，而是设置评估率，用以调节不同类型房产的实际税率。从税率看，美国通过“以支定收”确定税率，地方政府根据财政预算支出与收入、房地产评估价值和评估率确定税率。从税收优惠看，美国通过税额抵扣、延迟纳税的方式给予刚需、老年人、残疾人、低收入群体税收优惠。</w:t>
      </w:r>
      <w:r>
        <w:rPr>
          <w:rStyle w:val="6"/>
          <w:rFonts w:hint="eastAsia" w:ascii="仿宋" w:hAnsi="仿宋" w:eastAsia="仿宋" w:cs="仿宋"/>
          <w:b/>
          <w:bCs/>
          <w:kern w:val="0"/>
          <w:sz w:val="25"/>
          <w:szCs w:val="25"/>
          <w:bdr w:val="none" w:color="auto" w:sz="0" w:space="0"/>
          <w:lang w:val="en-US" w:eastAsia="zh-CN" w:bidi="ar"/>
        </w:rPr>
        <w:t>2）英国房产税起源于十七世纪中期英格兰的“炉灶税”，即以一户所拥有的炉灶数量作为征税对象的税种，用于为贫民提供救济。</w:t>
      </w:r>
      <w:r>
        <w:rPr>
          <w:rFonts w:hint="eastAsia" w:ascii="仿宋" w:hAnsi="仿宋" w:eastAsia="仿宋" w:cs="仿宋"/>
          <w:kern w:val="0"/>
          <w:sz w:val="25"/>
          <w:szCs w:val="25"/>
          <w:bdr w:val="none" w:color="auto" w:sz="0" w:space="0"/>
          <w:lang w:val="en-US" w:eastAsia="zh-CN" w:bidi="ar"/>
        </w:rPr>
        <w:t>住房保有环节征收市政税，税基由评估机构评估房屋价值，分为八或九个等级。1662年英国按家中炉灶数目征收炉灶税，1989年每人按年定额课征的社区费的多次调整，税基经历炉灶数目、窗户数目、租赁价值等多次变化。英格兰、苏格兰与北爱尔兰将每个住宅在1991年4月的房屋价值分为A-H八个等级，威尔士按照2003年的房屋价值分为A-I九个等级，后续建成房屋按照这两个基期的价格进行分类。2018年英格兰与威尔士A-I等级房屋分别占比24%、20%、22%、15%、10%、5%、4%、1%与0%，税率以D级住宅为基准，实行定额税收，税额累进。英国“以支定收”确定D级住宅纳税额，市政税作为地方税种，由各地区政府根据当年财政预算的支出缺口决定该地区D级住宅的课税额，通过控制政府支出以限定住房税应纳税额，有效平衡了财政需求与纳税人之间的税负关系。现今英国住房财产税是地方政府的重要税收的收入来源，主要用于英国地方政府的公共事业开支。据英国统计局统计，2020财年，英格兰市政税合计征收322亿英镑，占地方政府全部财政收入的29%。</w:t>
      </w:r>
      <w:r>
        <w:rPr>
          <w:rFonts w:hint="eastAsia" w:ascii="仿宋" w:hAnsi="仿宋" w:eastAsia="仿宋" w:cs="仿宋"/>
          <w:kern w:val="0"/>
          <w:sz w:val="25"/>
          <w:szCs w:val="25"/>
          <w:lang w:val="en-US" w:eastAsia="zh-CN" w:bidi="ar"/>
        </w:rPr>
        <w:drawing>
          <wp:inline distT="0" distB="0" distL="114300" distR="114300">
            <wp:extent cx="5467985" cy="2020570"/>
            <wp:effectExtent l="0" t="0" r="18415" b="17780"/>
            <wp:docPr id="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3"/>
                    <pic:cNvPicPr>
                      <a:picLocks noChangeAspect="1"/>
                    </pic:cNvPicPr>
                  </pic:nvPicPr>
                  <pic:blipFill>
                    <a:blip r:embed="rId11"/>
                    <a:stretch>
                      <a:fillRect/>
                    </a:stretch>
                  </pic:blipFill>
                  <pic:spPr>
                    <a:xfrm>
                      <a:off x="0" y="0"/>
                      <a:ext cx="5467985" cy="2020570"/>
                    </a:xfrm>
                    <a:prstGeom prst="rect">
                      <a:avLst/>
                    </a:prstGeom>
                    <a:noFill/>
                    <a:ln w="9525">
                      <a:noFill/>
                    </a:ln>
                  </pic:spPr>
                </pic:pic>
              </a:graphicData>
            </a:graphic>
          </wp:inline>
        </w:drawing>
      </w:r>
      <w:r>
        <w:rPr>
          <w:rStyle w:val="6"/>
          <w:rFonts w:hint="eastAsia" w:ascii="仿宋" w:hAnsi="仿宋" w:eastAsia="仿宋" w:cs="仿宋"/>
          <w:b/>
          <w:bCs/>
          <w:kern w:val="0"/>
          <w:sz w:val="25"/>
          <w:szCs w:val="25"/>
          <w:bdr w:val="none" w:color="auto" w:sz="0" w:space="0"/>
          <w:lang w:val="en-US" w:eastAsia="zh-CN" w:bidi="ar"/>
        </w:rPr>
        <w:t>3）日本对保有环节征收固定资产税和都市计划税，以评估价值为税基，评估价值小于市场价值，设置“负担率”调节机制。</w:t>
      </w:r>
      <w:r>
        <w:rPr>
          <w:rFonts w:hint="eastAsia" w:ascii="仿宋" w:hAnsi="仿宋" w:eastAsia="仿宋" w:cs="仿宋"/>
          <w:kern w:val="0"/>
          <w:sz w:val="25"/>
          <w:szCs w:val="25"/>
          <w:bdr w:val="none" w:color="auto" w:sz="0" w:space="0"/>
          <w:lang w:val="en-US" w:eastAsia="zh-CN" w:bidi="ar"/>
        </w:rPr>
        <w:t>日本市町村政府每年向土地和房产所有者征收固定资产税和都市计划税。从计税基础看，固定资产税与都市计划税税基相同，均为房屋或土地评估价值，每3年评估一次，土地评估价值一般为上一年土地公示价格的70%。设置“负担率”调节机制，避免地价大幅波动带来额外的税收压力。从税率看，由中央政府设置基准税率，地方政府在此基础上调整。固定资产税基准税率长期保持在1.4%，都市计划税税率在0.2%-0.3%。从税收优惠看，日本以设置起征点作为税收优惠方式，对评估价值低于30万日元的土地和20万日元的房屋免税。</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0DC1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2021-10-28T00:31:22Z</dcterms:created>
  <dc:creator>wh</dc:creator>
  <cp:lastModifiedBy>wh</cp:lastModifiedBy>
  <dcterms:modified xsi:type="dcterms:W3CDTF">2021-10-28T00:34:06Z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17B4E677D97746AC91D25D9CA7FDAE38</vt:lpwstr>
  </property>
</Properties>
</file>